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A9141">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14:paraId="71E15998">
      <w:pPr>
        <w:tabs>
          <w:tab w:val="left" w:pos="2835"/>
        </w:tabs>
        <w:spacing w:before="240" w:after="240"/>
        <w:ind w:left="2835" w:hanging="2835"/>
        <w:jc w:val="center"/>
        <w:rPr>
          <w:rFonts w:asciiTheme="minorHAnsi" w:hAnsiTheme="minorHAnsi" w:cstheme="minorHAnsi"/>
          <w:lang w:val="en-GB" w:eastAsia="ko-KR"/>
        </w:rPr>
      </w:pPr>
      <w:bookmarkStart w:id="0" w:name="_Ref385265302"/>
      <w:bookmarkStart w:id="1" w:name="_Ref371928515"/>
      <w:bookmarkStart w:id="2" w:name="_Ref384989099"/>
      <w:bookmarkStart w:id="3" w:name="_Ref374243803"/>
      <w:r>
        <w:rPr>
          <w:b/>
          <w:lang w:val="en-GB"/>
        </w:rPr>
        <w:t>Procurement No:</w:t>
      </w:r>
      <w:r>
        <w:rPr>
          <w:rFonts w:hint="default"/>
          <w:b/>
          <w:lang w:val="en-US"/>
        </w:rPr>
        <w:t xml:space="preserve"> 54-G001-26</w:t>
      </w:r>
      <w:r>
        <w:rPr>
          <w:lang w:val="en-GB"/>
        </w:rPr>
        <w:tab/>
      </w:r>
      <w:bookmarkEnd w:id="0"/>
      <w:bookmarkEnd w:id="1"/>
      <w:bookmarkEnd w:id="2"/>
      <w:bookmarkEnd w:id="3"/>
      <w:r>
        <w:rPr>
          <w:rFonts w:asciiTheme="minorHAnsi" w:hAnsiTheme="minorHAnsi" w:cstheme="minorHAnsi"/>
          <w:lang w:val="en-GB" w:eastAsia="ko-KR"/>
        </w:rPr>
        <w:t xml:space="preserve"> </w:t>
      </w:r>
    </w:p>
    <w:p w14:paraId="7DE98D9E">
      <w:pPr>
        <w:rPr>
          <w:rFonts w:ascii="Calibri" w:hAnsi="Calibri" w:cs="Calibri"/>
          <w:b/>
          <w:lang w:val="en-GB" w:eastAsia="ko-KR"/>
        </w:rPr>
      </w:pPr>
      <w:r>
        <w:rPr>
          <w:rFonts w:ascii="Calibri" w:hAnsi="Calibri" w:cs="Calibri"/>
          <w:b/>
          <w:lang w:val="en-GB" w:eastAsia="ko-KR"/>
        </w:rPr>
        <w:br w:type="page"/>
      </w:r>
    </w:p>
    <w:p w14:paraId="1770CFCF">
      <w:pPr>
        <w:spacing w:after="240"/>
        <w:jc w:val="center"/>
        <w:rPr>
          <w:rFonts w:asciiTheme="minorHAnsi" w:hAnsiTheme="minorHAnsi" w:cstheme="minorHAnsi"/>
          <w:b/>
          <w:smallCaps/>
          <w:lang w:val="en-GB"/>
        </w:rPr>
      </w:pPr>
      <w:r>
        <w:rPr>
          <w:rFonts w:asciiTheme="minorHAnsi" w:hAnsiTheme="minorHAnsi" w:cstheme="minorHAnsi"/>
          <w:b/>
          <w:smallCaps/>
          <w:lang w:val="en-GB"/>
        </w:rPr>
        <w:t>Index</w:t>
      </w:r>
    </w:p>
    <w:p w14:paraId="4876AC54">
      <w:pPr>
        <w:pStyle w:val="34"/>
        <w:rPr>
          <w:rFonts w:asciiTheme="minorHAnsi" w:hAnsiTheme="minorHAnsi" w:eastAsiaTheme="minorEastAsia" w:cstheme="minorHAnsi"/>
          <w:caps w:val="0"/>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asciiTheme="minorHAnsi" w:hAnsiTheme="minorHAnsi" w:cstheme="minorHAnsi"/>
        </w:rPr>
        <w:t>Instructions on how to submit the Quotation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_Toc44938294 \h </w:instrText>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0BBDF0EE">
      <w:pPr>
        <w:pStyle w:val="35"/>
        <w:tabs>
          <w:tab w:val="left" w:pos="1440"/>
        </w:tabs>
        <w:rPr>
          <w:rFonts w:asciiTheme="minorHAnsi" w:hAnsiTheme="minorHAnsi" w:eastAsiaTheme="minorEastAsia" w:cstheme="minorHAnsi"/>
          <w:smallCaps w:val="0"/>
          <w:lang w:val="en-GB" w:eastAsia="en-GB"/>
        </w:rPr>
      </w:pPr>
      <w:r>
        <w:rPr>
          <w:rFonts w:asciiTheme="minorHAnsi" w:hAnsiTheme="minorHAnsi" w:cstheme="minorHAnsi"/>
          <w:lang w:eastAsia="ko-KR"/>
        </w:rPr>
        <w:t>I.</w:t>
      </w:r>
      <w:r>
        <w:rPr>
          <w:rFonts w:asciiTheme="minorHAnsi" w:hAnsiTheme="minorHAnsi" w:eastAsiaTheme="minorEastAsia" w:cstheme="minorHAnsi"/>
          <w:smallCaps w:val="0"/>
          <w:lang w:val="en-GB" w:eastAsia="en-GB"/>
        </w:rPr>
        <w:tab/>
      </w:r>
      <w:r>
        <w:rPr>
          <w:rFonts w:asciiTheme="minorHAnsi" w:hAnsiTheme="minorHAnsi" w:cstheme="minorHAnsi"/>
          <w:lang w:eastAsia="ko-KR"/>
        </w:rPr>
        <w:t>General Instructions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_Toc44938295 \h </w:instrText>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10D088D8">
      <w:pPr>
        <w:pStyle w:val="36"/>
        <w:rPr>
          <w:rFonts w:asciiTheme="minorHAnsi" w:hAnsiTheme="minorHAnsi" w:eastAsiaTheme="minorEastAsia" w:cstheme="minorHAnsi"/>
          <w:lang w:val="en-GB" w:eastAsia="en-GB"/>
        </w:rPr>
      </w:pPr>
      <w:r>
        <w:rPr>
          <w:rFonts w:asciiTheme="minorHAnsi" w:hAnsiTheme="minorHAnsi" w:cstheme="minorHAnsi"/>
          <w:lang w:val="en-GB"/>
        </w:rPr>
        <w:t>Official email address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_Toc44938296 \h </w:instrText>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2B1E8AA8">
      <w:pPr>
        <w:pStyle w:val="36"/>
        <w:rPr>
          <w:rFonts w:asciiTheme="minorHAnsi" w:hAnsiTheme="minorHAnsi" w:eastAsiaTheme="minorEastAsia" w:cstheme="minorHAnsi"/>
          <w:lang w:val="en-GB" w:eastAsia="en-GB"/>
        </w:rPr>
      </w:pPr>
      <w:r>
        <w:rPr>
          <w:rFonts w:asciiTheme="minorHAnsi" w:hAnsiTheme="minorHAnsi" w:cstheme="minorHAnsi"/>
          <w:lang w:val="en-GB"/>
        </w:rPr>
        <w:t>Mandatory requirements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_Toc44938297 \h </w:instrText>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4DBA0DBF">
      <w:pPr>
        <w:pStyle w:val="36"/>
        <w:rPr>
          <w:rFonts w:asciiTheme="minorHAnsi" w:hAnsiTheme="minorHAnsi" w:eastAsiaTheme="minorEastAsia" w:cstheme="minorHAnsi"/>
          <w:lang w:val="en-GB" w:eastAsia="en-GB"/>
        </w:rPr>
      </w:pPr>
      <w:r>
        <w:rPr>
          <w:rFonts w:asciiTheme="minorHAnsi" w:hAnsiTheme="minorHAnsi" w:cstheme="minorHAnsi"/>
          <w:lang w:val="en-GB"/>
        </w:rPr>
        <w:t>Clarification and amendment of RFQ documents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_Toc44938298 \h </w:instrText>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75AE337F">
      <w:pPr>
        <w:pStyle w:val="36"/>
        <w:rPr>
          <w:rFonts w:asciiTheme="minorHAnsi" w:hAnsiTheme="minorHAnsi" w:eastAsiaTheme="minorEastAsia" w:cstheme="minorHAnsi"/>
          <w:lang w:val="en-GB" w:eastAsia="en-GB"/>
        </w:rPr>
      </w:pPr>
      <w:r>
        <w:rPr>
          <w:rFonts w:asciiTheme="minorHAnsi" w:hAnsiTheme="minorHAnsi" w:cstheme="minorHAnsi"/>
          <w:lang w:val="en-GB"/>
        </w:rPr>
        <w:t>Method of submission and Quotation format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_Toc44938299 \h </w:instrText>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36FA8A8B">
      <w:pPr>
        <w:pStyle w:val="37"/>
        <w:rPr>
          <w:rFonts w:asciiTheme="minorHAnsi" w:hAnsiTheme="minorHAnsi" w:eastAsiaTheme="minorEastAsia" w:cstheme="minorHAnsi"/>
          <w:lang w:val="en-GB" w:eastAsia="en-GB"/>
        </w:rPr>
      </w:pPr>
      <w:r>
        <w:rPr>
          <w:rFonts w:asciiTheme="minorHAnsi" w:hAnsiTheme="minorHAnsi" w:cstheme="minorHAnsi"/>
          <w:lang w:val="en-GB"/>
        </w:rPr>
        <w:t>Electronic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_Toc44938300 \h </w:instrText>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44A1D6A1">
      <w:pPr>
        <w:pStyle w:val="37"/>
        <w:rPr>
          <w:rFonts w:asciiTheme="minorHAnsi" w:hAnsiTheme="minorHAnsi" w:eastAsiaTheme="minorEastAsia" w:cstheme="minorHAnsi"/>
          <w:lang w:val="en-GB" w:eastAsia="en-GB"/>
        </w:rPr>
      </w:pPr>
      <w:r>
        <w:rPr>
          <w:rFonts w:asciiTheme="minorHAnsi" w:hAnsiTheme="minorHAnsi" w:cstheme="minorHAnsi"/>
          <w:lang w:val="en-GB"/>
        </w:rPr>
        <w:t>Other means of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_Toc44938301 \h </w:instrText>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0FB3BA0E">
      <w:pPr>
        <w:pStyle w:val="35"/>
        <w:tabs>
          <w:tab w:val="left" w:pos="1440"/>
        </w:tabs>
        <w:rPr>
          <w:rFonts w:asciiTheme="minorHAnsi" w:hAnsiTheme="minorHAnsi" w:eastAsiaTheme="minorEastAsia" w:cstheme="minorHAnsi"/>
          <w:smallCaps w:val="0"/>
          <w:lang w:val="en-GB" w:eastAsia="en-GB"/>
        </w:rPr>
      </w:pPr>
      <w:r>
        <w:rPr>
          <w:rFonts w:asciiTheme="minorHAnsi" w:hAnsiTheme="minorHAnsi" w:cstheme="minorHAnsi"/>
          <w:lang w:eastAsia="ko-KR"/>
        </w:rPr>
        <w:t>II.</w:t>
      </w:r>
      <w:r>
        <w:rPr>
          <w:rFonts w:asciiTheme="minorHAnsi" w:hAnsiTheme="minorHAnsi" w:eastAsiaTheme="minorEastAsia" w:cstheme="minorHAnsi"/>
          <w:smallCaps w:val="0"/>
          <w:lang w:val="en-GB" w:eastAsia="en-GB"/>
        </w:rPr>
        <w:tab/>
      </w:r>
      <w:r>
        <w:rPr>
          <w:rFonts w:asciiTheme="minorHAnsi" w:hAnsiTheme="minorHAnsi" w:cstheme="minorHAnsi"/>
          <w:lang w:eastAsia="ko-KR"/>
        </w:rPr>
        <w:t>Quotation Documents Required to be Submitted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_Toc44938302 \h </w:instrText>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7CF55D36">
      <w:pPr>
        <w:pStyle w:val="36"/>
        <w:rPr>
          <w:rFonts w:asciiTheme="minorHAnsi" w:hAnsiTheme="minorHAnsi" w:eastAsiaTheme="minorEastAsia" w:cstheme="minorHAnsi"/>
          <w:lang w:val="en-GB" w:eastAsia="en-GB"/>
        </w:rPr>
      </w:pPr>
      <w:r>
        <w:rPr>
          <w:rFonts w:asciiTheme="minorHAnsi" w:hAnsiTheme="minorHAnsi" w:cstheme="minorHAnsi"/>
          <w:lang w:val="en-GB"/>
        </w:rPr>
        <w:t>Cover letter</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_Toc44938303 \h </w:instrText>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6C05CE4F">
      <w:pPr>
        <w:pStyle w:val="36"/>
        <w:rPr>
          <w:rFonts w:asciiTheme="minorHAnsi" w:hAnsiTheme="minorHAnsi" w:eastAsiaTheme="minorEastAsia" w:cstheme="minorHAnsi"/>
          <w:lang w:val="en-GB" w:eastAsia="en-GB"/>
        </w:rPr>
      </w:pPr>
      <w:r>
        <w:rPr>
          <w:rFonts w:asciiTheme="minorHAnsi" w:hAnsiTheme="minorHAnsi" w:cstheme="minorHAnsi"/>
          <w:lang w:val="en-GB"/>
        </w:rPr>
        <w:t>Certificate of Compliance Form</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_Toc44938304 \h </w:instrText>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35C8A9E8">
      <w:pPr>
        <w:pStyle w:val="36"/>
        <w:rPr>
          <w:rFonts w:asciiTheme="minorHAnsi" w:hAnsiTheme="minorHAnsi" w:eastAsiaTheme="minorEastAsia" w:cstheme="minorHAnsi"/>
          <w:lang w:val="en-GB" w:eastAsia="en-GB"/>
        </w:rPr>
      </w:pPr>
      <w:r>
        <w:rPr>
          <w:rFonts w:asciiTheme="minorHAnsi" w:hAnsiTheme="minorHAnsi" w:cstheme="minorHAnsi"/>
          <w:lang w:val="en-GB"/>
        </w:rPr>
        <w:t>Technical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_Toc44938305 \h </w:instrText>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6E2AF0D6">
      <w:pPr>
        <w:pStyle w:val="36"/>
        <w:rPr>
          <w:rFonts w:asciiTheme="minorHAnsi" w:hAnsiTheme="minorHAnsi" w:eastAsiaTheme="minorEastAsia" w:cstheme="minorHAnsi"/>
          <w:lang w:val="en-GB" w:eastAsia="en-GB"/>
        </w:rPr>
      </w:pPr>
      <w:r>
        <w:rPr>
          <w:rFonts w:asciiTheme="minorHAnsi" w:hAnsiTheme="minorHAnsi" w:cstheme="minorHAnsi"/>
          <w:lang w:val="en-GB"/>
        </w:rPr>
        <w:t>Financial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_Toc44938306 \h </w:instrText>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00662D7E">
      <w:pPr>
        <w:pStyle w:val="35"/>
        <w:tabs>
          <w:tab w:val="left" w:pos="1440"/>
        </w:tabs>
        <w:rPr>
          <w:rFonts w:asciiTheme="minorHAnsi" w:hAnsiTheme="minorHAnsi" w:eastAsiaTheme="minorEastAsia" w:cstheme="minorHAnsi"/>
          <w:smallCaps w:val="0"/>
          <w:lang w:val="en-GB" w:eastAsia="en-GB"/>
        </w:rPr>
      </w:pPr>
      <w:r>
        <w:rPr>
          <w:rFonts w:asciiTheme="minorHAnsi" w:hAnsiTheme="minorHAnsi" w:cstheme="minorHAnsi"/>
          <w:lang w:eastAsia="ko-KR"/>
        </w:rPr>
        <w:t>III.</w:t>
      </w:r>
      <w:r>
        <w:rPr>
          <w:rFonts w:asciiTheme="minorHAnsi" w:hAnsiTheme="minorHAnsi" w:eastAsiaTheme="minorEastAsia" w:cstheme="minorHAnsi"/>
          <w:smallCaps w:val="0"/>
          <w:lang w:val="en-GB" w:eastAsia="en-GB"/>
        </w:rPr>
        <w:tab/>
      </w:r>
      <w:r>
        <w:rPr>
          <w:rFonts w:asciiTheme="minorHAnsi" w:hAnsiTheme="minorHAnsi" w:cstheme="minorHAnsi"/>
          <w:lang w:eastAsia="ko-KR"/>
        </w:rPr>
        <w:t>Contract Award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_Toc44938307 \h </w:instrText>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6AEBF60A">
      <w:pPr>
        <w:pStyle w:val="35"/>
        <w:tabs>
          <w:tab w:val="left" w:pos="1440"/>
        </w:tabs>
        <w:rPr>
          <w:rFonts w:asciiTheme="minorHAnsi" w:hAnsiTheme="minorHAnsi" w:eastAsiaTheme="minorEastAsia" w:cstheme="minorHAnsi"/>
          <w:smallCaps w:val="0"/>
          <w:lang w:val="en-GB" w:eastAsia="en-GB"/>
        </w:rPr>
      </w:pPr>
      <w:r>
        <w:rPr>
          <w:rFonts w:asciiTheme="minorHAnsi" w:hAnsiTheme="minorHAnsi" w:cstheme="minorHAnsi"/>
          <w:lang w:eastAsia="ko-KR"/>
        </w:rPr>
        <w:t>IV.</w:t>
      </w:r>
      <w:r>
        <w:rPr>
          <w:rFonts w:asciiTheme="minorHAnsi" w:hAnsiTheme="minorHAnsi" w:eastAsiaTheme="minorEastAsia" w:cstheme="minorHAnsi"/>
          <w:smallCaps w:val="0"/>
          <w:lang w:val="en-GB" w:eastAsia="en-GB"/>
        </w:rPr>
        <w:tab/>
      </w:r>
      <w:r>
        <w:rPr>
          <w:rFonts w:asciiTheme="minorHAnsi" w:hAnsiTheme="minorHAnsi" w:cstheme="minorHAnsi"/>
          <w:lang w:eastAsia="ko-KR"/>
        </w:rPr>
        <w:t>Complaints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_Toc44938308 \h </w:instrText>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794AD178">
      <w:pPr>
        <w:pStyle w:val="35"/>
        <w:tabs>
          <w:tab w:val="left" w:pos="1440"/>
        </w:tabs>
        <w:rPr>
          <w:rFonts w:asciiTheme="minorHAnsi" w:hAnsiTheme="minorHAnsi" w:eastAsiaTheme="minorEastAsia" w:cstheme="minorHAnsi"/>
          <w:smallCaps w:val="0"/>
          <w:lang w:val="en-GB" w:eastAsia="en-GB"/>
        </w:rPr>
      </w:pPr>
      <w:r>
        <w:rPr>
          <w:rFonts w:asciiTheme="minorHAnsi" w:hAnsiTheme="minorHAnsi" w:cstheme="minorHAnsi"/>
          <w:lang w:eastAsia="ko-KR"/>
        </w:rPr>
        <w:t>V.</w:t>
      </w:r>
      <w:r>
        <w:rPr>
          <w:rFonts w:asciiTheme="minorHAnsi" w:hAnsiTheme="minorHAnsi" w:eastAsiaTheme="minorEastAsia" w:cstheme="minorHAnsi"/>
          <w:smallCaps w:val="0"/>
          <w:lang w:val="en-GB" w:eastAsia="en-GB"/>
        </w:rPr>
        <w:tab/>
      </w:r>
      <w:r>
        <w:rPr>
          <w:rFonts w:asciiTheme="minorHAnsi" w:hAnsiTheme="minorHAnsi" w:cstheme="minorHAnsi"/>
          <w:lang w:eastAsia="ko-KR"/>
        </w:rPr>
        <w:t>Contract finalisation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_Toc44938309 \h </w:instrText>
      </w:r>
      <w:r>
        <w:rPr>
          <w:rFonts w:asciiTheme="minorHAnsi" w:hAnsiTheme="minorHAnsi" w:cstheme="minorHAnsi"/>
        </w:rPr>
        <w:fldChar w:fldCharType="separate"/>
      </w:r>
      <w:r>
        <w:rPr>
          <w:rFonts w:asciiTheme="minorHAnsi" w:hAnsiTheme="minorHAnsi" w:cstheme="minorHAnsi"/>
        </w:rPr>
        <w:t>7</w:t>
      </w:r>
      <w:r>
        <w:rPr>
          <w:rFonts w:asciiTheme="minorHAnsi" w:hAnsiTheme="minorHAnsi" w:cstheme="minorHAnsi"/>
        </w:rPr>
        <w:fldChar w:fldCharType="end"/>
      </w:r>
    </w:p>
    <w:p w14:paraId="1FB08990">
      <w:pPr>
        <w:rPr>
          <w:rFonts w:ascii="Calibri" w:hAnsi="Calibri" w:cs="Calibri"/>
          <w:lang w:val="en-GB"/>
        </w:rPr>
      </w:pPr>
      <w:r>
        <w:rPr>
          <w:rFonts w:asciiTheme="minorHAnsi" w:hAnsiTheme="minorHAnsi" w:cstheme="minorHAnsi"/>
          <w:caps/>
          <w:lang w:val="en-GB"/>
        </w:rPr>
        <w:fldChar w:fldCharType="end"/>
      </w:r>
    </w:p>
    <w:p w14:paraId="0B8F80A7">
      <w:pPr>
        <w:rPr>
          <w:rFonts w:ascii="Calibri" w:hAnsi="Calibri" w:cs="Calibri"/>
          <w:b/>
          <w:sz w:val="32"/>
          <w:szCs w:val="32"/>
          <w:lang w:val="en-GB" w:eastAsia="en-GB"/>
        </w:rPr>
      </w:pPr>
      <w:bookmarkStart w:id="4" w:name="_Toc292659306"/>
      <w:r>
        <w:rPr>
          <w:rFonts w:cs="Calibri"/>
          <w:sz w:val="32"/>
          <w:szCs w:val="32"/>
          <w:lang w:val="en-GB"/>
        </w:rPr>
        <w:br w:type="page"/>
      </w:r>
    </w:p>
    <w:p w14:paraId="2674349C">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14:paraId="53131272">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1DB78E16">
      <w:pPr>
        <w:spacing w:before="120"/>
        <w:jc w:val="both"/>
        <w:rPr>
          <w:rFonts w:ascii="Calibri" w:hAnsi="Calibri" w:cs="Calibri"/>
          <w:color w:val="000000"/>
          <w:lang w:val="en-GB"/>
        </w:rPr>
      </w:pPr>
      <w:r>
        <w:rPr>
          <w:rFonts w:ascii="Calibri" w:hAnsi="Calibri" w:cs="Calibri"/>
          <w:lang w:val="en-GB"/>
        </w:rPr>
        <w:t xml:space="preserve">The </w:t>
      </w:r>
      <w:r>
        <w:rPr>
          <w:rFonts w:hint="default" w:ascii="Calibri" w:hAnsi="Calibri" w:cs="Calibri"/>
          <w:lang w:val="en-US"/>
        </w:rPr>
        <w:t>Airport Kiribati Authority</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C5DBB84">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48315458">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14:paraId="18905A89">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68376A19">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3C5A4113">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5375FED5">
      <w:pPr>
        <w:pStyle w:val="4"/>
        <w:spacing w:before="240" w:after="0"/>
        <w:jc w:val="both"/>
        <w:rPr>
          <w:rFonts w:cs="Calibri"/>
          <w:sz w:val="24"/>
          <w:lang w:val="en-GB"/>
        </w:rPr>
      </w:pPr>
      <w:bookmarkStart w:id="9" w:name="_Toc44938296"/>
      <w:r>
        <w:rPr>
          <w:rFonts w:cs="Calibri"/>
          <w:sz w:val="24"/>
          <w:lang w:val="en-GB"/>
        </w:rPr>
        <w:t>Official email address</w:t>
      </w:r>
      <w:bookmarkEnd w:id="9"/>
    </w:p>
    <w:p w14:paraId="70BE230B">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14:paraId="005DDB6C">
      <w:pPr>
        <w:rPr>
          <w:rFonts w:ascii="Calibri" w:hAnsi="Calibri" w:cs="Calibri"/>
          <w:b/>
          <w:lang w:val="en-GB"/>
        </w:rPr>
      </w:pPr>
      <w:r>
        <w:rPr>
          <w:rFonts w:cs="Calibri"/>
          <w:lang w:val="en-GB"/>
        </w:rPr>
        <w:br w:type="page"/>
      </w:r>
    </w:p>
    <w:p w14:paraId="48E674E7">
      <w:pPr>
        <w:pStyle w:val="4"/>
        <w:spacing w:before="240" w:after="0"/>
        <w:jc w:val="both"/>
        <w:rPr>
          <w:rFonts w:cs="Calibri"/>
          <w:sz w:val="24"/>
          <w:lang w:val="en-GB"/>
        </w:rPr>
      </w:pPr>
      <w:bookmarkStart w:id="11" w:name="_Toc44938297"/>
      <w:r>
        <w:rPr>
          <w:rFonts w:cs="Calibri"/>
          <w:sz w:val="24"/>
          <w:lang w:val="en-GB"/>
        </w:rPr>
        <w:t>Mandatory requirements</w:t>
      </w:r>
      <w:bookmarkEnd w:id="11"/>
    </w:p>
    <w:p w14:paraId="045FE3B1">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40FEF9FE">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1A6C3507">
      <w:pPr>
        <w:spacing w:before="100" w:beforeAutospacing="1" w:after="100" w:afterAutospacing="1"/>
        <w:jc w:val="both"/>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14:paraId="443AFD33">
      <w:pPr>
        <w:spacing w:before="100" w:beforeAutospacing="1" w:after="100" w:afterAutospacing="1"/>
        <w:jc w:val="both"/>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"http://www.procurement.gov.ki/tender-list" </w:instrText>
      </w:r>
      <w:r>
        <w:fldChar w:fldCharType="separate"/>
      </w:r>
      <w:r>
        <w:rPr>
          <w:rStyle w:val="26"/>
        </w:rPr>
        <w:t>Tender List | Central Procurement Unit</w:t>
      </w:r>
      <w:r>
        <w:rPr>
          <w:rStyle w:val="26"/>
        </w:rPr>
        <w:fldChar w:fldCharType="end"/>
      </w:r>
      <w: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14:paraId="2F0B2E5C">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5AFE3EF6">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14:paraId="3C45563E">
      <w:pPr>
        <w:pStyle w:val="5"/>
        <w:rPr>
          <w:lang w:val="en-GB"/>
        </w:rPr>
      </w:pPr>
      <w:bookmarkStart w:id="18" w:name="_Toc44938300"/>
      <w:bookmarkStart w:id="19" w:name="_Toc9865439"/>
      <w:r>
        <w:rPr>
          <w:lang w:val="en-GB"/>
        </w:rPr>
        <w:t>Electronic submission</w:t>
      </w:r>
      <w:bookmarkEnd w:id="18"/>
      <w:bookmarkEnd w:id="19"/>
    </w:p>
    <w:p w14:paraId="44E0E9DB">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14:paraId="3B3DD8E1">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14:paraId="398BB993">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405B14E5">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40C5CB22">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1E0E5077">
      <w:pPr>
        <w:pStyle w:val="5"/>
        <w:rPr>
          <w:lang w:val="en-GB"/>
        </w:rPr>
      </w:pPr>
      <w:bookmarkStart w:id="21" w:name="_Toc9865440"/>
      <w:bookmarkStart w:id="22" w:name="_Toc44938301"/>
      <w:r>
        <w:rPr>
          <w:lang w:val="en-GB"/>
        </w:rPr>
        <w:t>Other means of submission</w:t>
      </w:r>
      <w:bookmarkEnd w:id="21"/>
      <w:bookmarkEnd w:id="22"/>
    </w:p>
    <w:p w14:paraId="26319D81">
      <w:pPr>
        <w:rPr>
          <w:lang w:val="en-GB"/>
        </w:rPr>
      </w:pPr>
      <w:r>
        <w:rPr>
          <w:lang w:val="en-GB"/>
        </w:rPr>
        <w:t xml:space="preserve">For any other means of submission, i.e. delivery in hard copies, by mail, by hand or by courier, they shall be in closed and sealed envelopes or parcels, marked as follows: </w:t>
      </w:r>
    </w:p>
    <w:p w14:paraId="21B3DE9B">
      <w:pPr>
        <w:rPr>
          <w:lang w:val="en-GB"/>
        </w:rPr>
      </w:pPr>
    </w:p>
    <w:p w14:paraId="78AD7918">
      <w:pPr>
        <w:rPr>
          <w:lang w:val="en-GB"/>
        </w:rPr>
      </w:pPr>
      <w:r>
        <w:rPr>
          <w:lang w:val="en-GB"/>
        </w:rPr>
        <w:t>To: Secretary</w:t>
      </w:r>
    </w:p>
    <w:p w14:paraId="320B8FA5">
      <w:pPr>
        <w:rPr>
          <w:lang w:val="en-GB"/>
        </w:rPr>
      </w:pPr>
      <w:r>
        <w:rPr>
          <w:lang w:val="en-GB"/>
        </w:rPr>
        <w:t xml:space="preserve">       Ministry of Finance &amp; Economic Development</w:t>
      </w:r>
    </w:p>
    <w:p w14:paraId="00928596">
      <w:pPr>
        <w:rPr>
          <w:lang w:val="en-GB"/>
        </w:rPr>
      </w:pPr>
      <w:r>
        <w:rPr>
          <w:lang w:val="en-GB"/>
        </w:rPr>
        <w:t xml:space="preserve">       Bairiki, Tarawa</w:t>
      </w:r>
    </w:p>
    <w:p w14:paraId="101B7A67">
      <w:pPr>
        <w:rPr>
          <w:lang w:val="en-GB"/>
        </w:rPr>
      </w:pPr>
      <w:r>
        <w:rPr>
          <w:lang w:val="en-GB"/>
        </w:rPr>
        <w:t xml:space="preserve">       Republic of Kiribati</w:t>
      </w:r>
    </w:p>
    <w:p w14:paraId="093369A9">
      <w:pPr>
        <w:rPr>
          <w:lang w:val="en-GB"/>
        </w:rPr>
      </w:pPr>
    </w:p>
    <w:p w14:paraId="146925C4">
      <w:pPr>
        <w:rPr>
          <w:lang w:val="en-GB"/>
        </w:rPr>
      </w:pPr>
      <w:r>
        <w:rPr>
          <w:lang w:val="en-GB"/>
        </w:rPr>
        <w:t>Attention: Central Procurement Unit</w:t>
      </w:r>
    </w:p>
    <w:p w14:paraId="20DA963A">
      <w:pPr>
        <w:rPr>
          <w:rFonts w:hint="default"/>
          <w:lang w:val="en-US"/>
        </w:rPr>
      </w:pPr>
      <w:r>
        <w:rPr>
          <w:lang w:val="en-GB"/>
        </w:rPr>
        <w:t>Procurement number:</w:t>
      </w:r>
      <w:r>
        <w:rPr>
          <w:rFonts w:hint="default"/>
          <w:lang w:val="en-US"/>
        </w:rPr>
        <w:t xml:space="preserve"> 54-G001-26</w:t>
      </w:r>
      <w:bookmarkStart w:id="50" w:name="_GoBack"/>
      <w:bookmarkEnd w:id="50"/>
    </w:p>
    <w:p w14:paraId="305FCDDD">
      <w:pPr>
        <w:rPr>
          <w:lang w:val="en-GB"/>
        </w:rPr>
      </w:pPr>
    </w:p>
    <w:p w14:paraId="2A135786">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14:paraId="1015502E">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14:paraId="36A35BCB">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14:paraId="23E0BD55">
      <w:pPr>
        <w:pStyle w:val="81"/>
        <w:numPr>
          <w:ilvl w:val="0"/>
          <w:numId w:val="5"/>
        </w:numPr>
        <w:spacing w:before="120"/>
        <w:ind w:leftChars="0"/>
        <w:rPr>
          <w:rFonts w:cs="Calibri"/>
          <w:sz w:val="24"/>
          <w:szCs w:val="24"/>
          <w:lang w:val="en-GB"/>
        </w:rPr>
      </w:pPr>
      <w:r>
        <w:rPr>
          <w:rFonts w:cs="Calibri"/>
          <w:sz w:val="24"/>
          <w:szCs w:val="24"/>
          <w:lang w:val="en-GB"/>
        </w:rPr>
        <w:t xml:space="preserve">Qualification documents such as: </w:t>
      </w:r>
    </w:p>
    <w:p w14:paraId="7FCC2A49">
      <w:pPr>
        <w:ind w:left="360"/>
        <w:rPr>
          <w:rFonts w:cs="Calibri"/>
          <w:lang w:val="en-GB"/>
        </w:rPr>
      </w:pPr>
      <w:r>
        <w:rPr>
          <w:rFonts w:cs="Calibri"/>
          <w:lang w:val="en-GB"/>
        </w:rPr>
        <w:t>b(i) Certified business registration from MTCIC for local tenderers and a valid business registration for international tenderers</w:t>
      </w:r>
    </w:p>
    <w:p w14:paraId="567F2C80">
      <w:pPr>
        <w:ind w:left="360"/>
        <w:rPr>
          <w:rFonts w:cs="Calibri"/>
          <w:lang w:val="en-GB"/>
        </w:rPr>
      </w:pPr>
      <w:r>
        <w:rPr>
          <w:rFonts w:cs="Calibri"/>
          <w:lang w:val="en-GB"/>
        </w:rPr>
        <w:t>b(ii) Tax clearance letter from Tax Office. Those having tax debts should be having instalment agreement with the Tax Office</w:t>
      </w:r>
    </w:p>
    <w:p w14:paraId="67DB1F9C">
      <w:pPr>
        <w:ind w:left="360"/>
        <w:rPr>
          <w:rFonts w:cs="Calibri"/>
          <w:lang w:val="en-GB"/>
        </w:rPr>
      </w:pPr>
      <w:r>
        <w:rPr>
          <w:rFonts w:cs="Calibri"/>
          <w:lang w:val="en-GB"/>
        </w:rPr>
        <w:t>b(iii) Operational business license</w:t>
      </w:r>
    </w:p>
    <w:p w14:paraId="1CB19C47">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64C4FFAC">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749145F1">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4C4F7706">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to e, it belongs to.</w:t>
      </w:r>
    </w:p>
    <w:p w14:paraId="0F8DD7BD">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0435344D">
      <w:pPr>
        <w:pStyle w:val="4"/>
        <w:spacing w:before="240" w:after="0"/>
        <w:jc w:val="both"/>
        <w:rPr>
          <w:rFonts w:cs="Calibri"/>
          <w:sz w:val="24"/>
          <w:lang w:val="en-GB"/>
        </w:rPr>
      </w:pPr>
      <w:bookmarkStart w:id="26" w:name="_Toc44938303"/>
      <w:r>
        <w:rPr>
          <w:rFonts w:cs="Calibri"/>
          <w:sz w:val="24"/>
          <w:lang w:val="en-GB"/>
        </w:rPr>
        <w:t>Cover letter</w:t>
      </w:r>
      <w:bookmarkEnd w:id="26"/>
    </w:p>
    <w:p w14:paraId="6E773B30">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14:paraId="6F268643">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14:paraId="33F9B2D9">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0D4F0813">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046A08CD">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4725C34D">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pPr>
        <w:spacing w:before="100" w:beforeAutospacing="1" w:after="100" w:afterAutospacing="1"/>
        <w:jc w:val="both"/>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14:paraId="72E04556">
      <w:pPr>
        <w:pStyle w:val="4"/>
        <w:spacing w:before="240" w:after="0"/>
        <w:jc w:val="both"/>
        <w:rPr>
          <w:rFonts w:cs="Calibri"/>
          <w:sz w:val="24"/>
          <w:lang w:val="en-GB"/>
        </w:rPr>
      </w:pPr>
      <w:bookmarkStart w:id="29" w:name="_Toc44938305"/>
      <w:r>
        <w:rPr>
          <w:rFonts w:cs="Calibri"/>
          <w:sz w:val="24"/>
          <w:lang w:val="en-GB"/>
        </w:rPr>
        <w:t>Technical component</w:t>
      </w:r>
      <w:bookmarkEnd w:id="29"/>
    </w:p>
    <w:p w14:paraId="20D0DC2C">
      <w:pPr>
        <w:spacing w:before="100" w:beforeAutospacing="1" w:after="100" w:afterAutospacing="1"/>
        <w:jc w:val="both"/>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14:paraId="2ADEFCBA">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14:paraId="4E44A3EF">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14:paraId="3A51DAB2">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14:paraId="713FB474">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14:paraId="6DB66103">
      <w:pPr>
        <w:spacing w:before="100" w:beforeAutospacing="1" w:after="100" w:afterAutospacing="1"/>
        <w:jc w:val="both"/>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14:paraId="794F6317">
      <w:pPr>
        <w:pStyle w:val="4"/>
        <w:spacing w:before="240" w:after="0"/>
        <w:jc w:val="both"/>
        <w:rPr>
          <w:rFonts w:cs="Calibri"/>
          <w:sz w:val="24"/>
          <w:lang w:val="en-GB"/>
        </w:rPr>
      </w:pPr>
      <w:bookmarkStart w:id="33" w:name="_Toc44938306"/>
      <w:r>
        <w:rPr>
          <w:rFonts w:cs="Calibri"/>
          <w:sz w:val="24"/>
          <w:lang w:val="en-GB"/>
        </w:rPr>
        <w:t>Financial component</w:t>
      </w:r>
      <w:bookmarkEnd w:id="33"/>
    </w:p>
    <w:p w14:paraId="171D7F99">
      <w:pPr>
        <w:spacing w:before="100" w:beforeAutospacing="1" w:after="100" w:afterAutospacing="1"/>
        <w:jc w:val="both"/>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14:paraId="61B4D7D6">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14:paraId="71C922FA">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40D6EDA2">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13EE56D4">
      <w:pPr>
        <w:pStyle w:val="3"/>
        <w:numPr>
          <w:ilvl w:val="0"/>
          <w:numId w:val="3"/>
        </w:numPr>
        <w:ind w:left="360" w:hanging="270"/>
        <w:rPr>
          <w:rFonts w:cs="Calibri"/>
          <w:sz w:val="28"/>
          <w:szCs w:val="28"/>
          <w:lang w:eastAsia="ko-KR"/>
        </w:rPr>
      </w:pPr>
      <w:bookmarkStart w:id="37" w:name="_Toc26369676"/>
      <w:bookmarkEnd w:id="37"/>
      <w:bookmarkStart w:id="38" w:name="_Toc26439756"/>
      <w:bookmarkEnd w:id="38"/>
      <w:bookmarkStart w:id="39" w:name="_Toc26369675"/>
      <w:bookmarkEnd w:id="39"/>
      <w:bookmarkStart w:id="40" w:name="_Toc26439757"/>
      <w:bookmarkEnd w:id="40"/>
      <w:bookmarkStart w:id="41" w:name="_Toc44938307"/>
      <w:bookmarkStart w:id="42" w:name="_Hlk26439196"/>
      <w:r>
        <w:rPr>
          <w:rFonts w:cs="Calibri"/>
          <w:sz w:val="28"/>
          <w:szCs w:val="28"/>
          <w:lang w:eastAsia="ko-KR"/>
        </w:rPr>
        <w:t>Contract Award</w:t>
      </w:r>
      <w:bookmarkEnd w:id="41"/>
    </w:p>
    <w:p w14:paraId="76781396">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14:paraId="06846147">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14:paraId="565E9B9B">
      <w:pPr>
        <w:jc w:val="both"/>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3985ADCD">
      <w:pPr>
        <w:pStyle w:val="3"/>
        <w:numPr>
          <w:ilvl w:val="0"/>
          <w:numId w:val="3"/>
        </w:numPr>
        <w:ind w:left="360" w:hanging="270"/>
        <w:jc w:val="both"/>
        <w:rPr>
          <w:rFonts w:cs="Calibri"/>
          <w:sz w:val="28"/>
          <w:szCs w:val="28"/>
          <w:lang w:eastAsia="ko-KR"/>
        </w:rPr>
      </w:pPr>
      <w:bookmarkStart w:id="45" w:name="_Toc44938309"/>
      <w:r>
        <w:rPr>
          <w:rFonts w:cs="Calibri"/>
          <w:sz w:val="28"/>
          <w:szCs w:val="28"/>
          <w:lang w:eastAsia="ko-KR"/>
        </w:rPr>
        <w:t>Contract finalisation</w:t>
      </w:r>
      <w:bookmarkEnd w:id="45"/>
    </w:p>
    <w:p w14:paraId="5DA5E07C">
      <w:pPr>
        <w:spacing w:before="100" w:beforeAutospacing="1" w:after="100" w:afterAutospacing="1"/>
        <w:jc w:val="both"/>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619B9464">
      <w:pPr>
        <w:spacing w:before="100" w:beforeAutospacing="1" w:after="100" w:afterAutospacing="1"/>
        <w:jc w:val="both"/>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0"/>
      <w:bookmarkEnd w:id="46"/>
      <w:bookmarkStart w:id="47" w:name="_Toc26369681"/>
      <w:bookmarkEnd w:id="47"/>
      <w:bookmarkStart w:id="48" w:name="_Toc26369682"/>
      <w:bookmarkEnd w:id="48"/>
      <w:bookmarkStart w:id="49" w:name="_Toc26369683"/>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14E75">
    <w:pPr>
      <w:tabs>
        <w:tab w:val="center" w:pos="4550"/>
        <w:tab w:val="left" w:pos="5818"/>
      </w:tabs>
      <w:ind w:right="260"/>
      <w:jc w:val="right"/>
      <w:rPr>
        <w:color w:val="1025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7</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7</w:t>
    </w:r>
    <w:r>
      <w:rPr>
        <w:color w:val="17375E" w:themeColor="text2" w:themeShade="BF"/>
      </w:rPr>
      <w:fldChar w:fldCharType="end"/>
    </w:r>
  </w:p>
  <w:p w14:paraId="213B5D63">
    <w:pPr>
      <w:pStyle w:val="22"/>
    </w:pPr>
    <w:r>
      <w:fldChar w:fldCharType="begin"/>
    </w:r>
    <w:r>
      <w:instrText xml:space="preserve"> DATE \@ "yyyy-MM-dd" </w:instrText>
    </w:r>
    <w:r>
      <w:fldChar w:fldCharType="separate"/>
    </w:r>
    <w:r>
      <w:t>2026-03-18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3C65810A">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9C872">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534"/>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B6D"/>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648"/>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0B83"/>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80D"/>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9AE"/>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B9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8BA"/>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353"/>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1"/>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AC3140B"/>
    <w:rsid w:val="41E26478"/>
    <w:rsid w:val="76605EFC"/>
    <w:rsid w:val="7A287E87"/>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1"/>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9A6013-A4EC-4C08-9312-626C5804AAE1}">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1792</Words>
  <Characters>9880</Characters>
  <Lines>87</Lines>
  <Paragraphs>24</Paragraphs>
  <TotalTime>1</TotalTime>
  <ScaleCrop>false</ScaleCrop>
  <LinksUpToDate>false</LinksUpToDate>
  <CharactersWithSpaces>11605</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2020-12-01T12:58:00Z</dcterms:created>
  <dc:creator>jason.lee@gggi.org;Jisu Min</dc:creator>
  <cp:lastModifiedBy>WPS_1705454450</cp:lastModifiedBy>
  <cp:lastPrinted>2013-10-18T08:32:00Z</cp:lastPrinted>
  <dcterms:modified xsi:type="dcterms:W3CDTF">2026-03-18T00:52:43Z</dcterms:modified>
  <dc:title>STANDARD REQUEST FOR PROPOSALS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1033-12.1.0.25242</vt:lpwstr>
  </property>
  <property fmtid="{D5CDD505-2E9C-101B-9397-08002B2CF9AE}" pid="4" name="ICV">
    <vt:lpwstr>B6F38B80E9404E5EB2E92205808071B6_13</vt:lpwstr>
  </property>
  <property fmtid="{D5CDD505-2E9C-101B-9397-08002B2CF9AE}" pid="5" name="KSOTemplateDocerSaveRecord">
    <vt:lpwstr>eyJoZGlkIjoiNDQ5M2NiMTM3YWZjYzhkZDM4NzUxY2ZlMjQ1MzA5ZDIiLCJ1c2VySWQiOiI4ODEzNzc3NDcxMzMxIn0=</vt:lpwstr>
  </property>
</Properties>
</file>